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b/>
          <w:i w:val="0"/>
          <w:caps w:val="0"/>
          <w:color w:val="333333"/>
          <w:spacing w:val="8"/>
          <w:sz w:val="33"/>
          <w:szCs w:val="33"/>
        </w:rPr>
      </w:pPr>
      <w:bookmarkStart w:id="0" w:name="_GoBack"/>
      <w:r>
        <w:rPr>
          <w:rFonts w:hint="eastAsia" w:ascii="微软雅黑" w:hAnsi="微软雅黑" w:eastAsia="微软雅黑" w:cs="微软雅黑"/>
          <w:b/>
          <w:i w:val="0"/>
          <w:caps w:val="0"/>
          <w:color w:val="333333"/>
          <w:spacing w:val="8"/>
          <w:sz w:val="33"/>
          <w:szCs w:val="33"/>
          <w:shd w:val="clear" w:fill="FFFFFF"/>
        </w:rPr>
        <w:t>图研科技：与您携手，改变科学的出场方式</w:t>
      </w:r>
    </w:p>
    <w:p>
      <w:pPr>
        <w:ind w:left="0" w:leftChars="0" w:firstLine="420" w:firstLineChars="200"/>
      </w:pPr>
      <w:r>
        <w:t>图研科技是学术图像跨界最前沿的公司，作为带头人的宋元元，经常会被科研圈的朋友问到，图研科技已经把诸多科学概念转变成了可见的艺术（学术杂志的封面），有没有可能将高高在上的艺术带入到大众生活领域中？有很多做实业的朋友也在问：“当眼花缭乱的科学，面对那么多喜欢科学知识的人们时，怎样才能拉近两者之间的距离？商业怎么才能与科学跨界联姻？”</w:t>
      </w:r>
    </w:p>
    <w:p/>
    <w:p>
      <w:pPr>
        <w:rPr>
          <w:rFonts w:hint="eastAsia" w:eastAsia="微软雅黑"/>
          <w:lang w:eastAsia="zh-CN"/>
        </w:rPr>
      </w:pPr>
      <w:r>
        <w:rPr>
          <w:rFonts w:hint="eastAsia" w:eastAsia="微软雅黑"/>
          <w:lang w:eastAsia="zh-CN"/>
        </w:rPr>
        <w:drawing>
          <wp:inline distT="0" distB="0" distL="114300" distR="114300">
            <wp:extent cx="5397500" cy="6663690"/>
            <wp:effectExtent l="0" t="0" r="12700" b="3810"/>
            <wp:docPr id="1" name="图片 1" descr="微信图片_2020073009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30092445"/>
                    <pic:cNvPicPr>
                      <a:picLocks noChangeAspect="1"/>
                    </pic:cNvPicPr>
                  </pic:nvPicPr>
                  <pic:blipFill>
                    <a:blip r:embed="rId4"/>
                    <a:stretch>
                      <a:fillRect/>
                    </a:stretch>
                  </pic:blipFill>
                  <pic:spPr>
                    <a:xfrm>
                      <a:off x="0" y="0"/>
                      <a:ext cx="5397500" cy="6663690"/>
                    </a:xfrm>
                    <a:prstGeom prst="rect">
                      <a:avLst/>
                    </a:prstGeom>
                  </pic:spPr>
                </pic:pic>
              </a:graphicData>
            </a:graphic>
          </wp:inline>
        </w:drawing>
      </w:r>
    </w:p>
    <w:p>
      <w:pPr>
        <w:rPr>
          <w:rFonts w:hint="default"/>
          <w:b/>
          <w:bCs/>
        </w:rPr>
      </w:pPr>
      <w:r>
        <w:rPr>
          <w:rFonts w:hint="default"/>
          <w:b/>
          <w:bCs/>
        </w:rPr>
        <w:t>图研科技创始人、《科学的颜值》作者：宋元元</w:t>
      </w:r>
    </w:p>
    <w:p>
      <w:pPr>
        <w:rPr>
          <w:rFonts w:hint="default"/>
          <w:b/>
          <w:bCs/>
        </w:rPr>
      </w:pPr>
    </w:p>
    <w:p>
      <w:pPr>
        <w:ind w:firstLine="420" w:firstLineChars="200"/>
        <w:rPr>
          <w:rFonts w:hint="default"/>
        </w:rPr>
      </w:pPr>
      <w:r>
        <w:rPr>
          <w:rFonts w:hint="default"/>
        </w:rPr>
        <w:t>衍生品能为科学传播做什么？在科技馆、博物馆、文具店也经常能看到基于教学设计的儿童玩具和教学教育，这些产品在大家眼中是针对儿童的设计，低龄化的感觉让追求个性化，追求时尚的成年人经常对它选择性忽视，进不了时尚和潮流的圈子。</w:t>
      </w:r>
    </w:p>
    <w:p>
      <w:pPr>
        <w:ind w:firstLine="420" w:firstLineChars="200"/>
        <w:rPr>
          <w:rFonts w:hint="default"/>
        </w:rPr>
      </w:pPr>
      <w:r>
        <w:rPr>
          <w:rFonts w:hint="default"/>
        </w:rPr>
        <w:t>艺术性审美输入最大的作用是满足人们精神愉悦是潜意识的需求是感性的层面，具有教育教学的知识性信息输入经常是明意识的规则标准是理性的层面。这是横在科学和艺术之间显而易见的矛盾点，将科学的艺术性抽样出来，模糊理性和感性的边际，是科学衍生品在进化过程中需要自我优化的部分。</w:t>
      </w:r>
    </w:p>
    <w:p>
      <w:pPr>
        <w:ind w:firstLine="420" w:firstLineChars="200"/>
        <w:rPr>
          <w:rFonts w:hint="default"/>
        </w:rPr>
      </w:pPr>
      <w:r>
        <w:rPr>
          <w:rFonts w:hint="default"/>
        </w:rPr>
        <w:t>科研领域在近十年的信息表达方式上发生了很大的变化，科研界从传统的符号化表达快速的蜕变成了艺术性更好，更有冲击力的图像表达方式。科研学术领域在图像的内涵和形式提升上都与传统的模式上有了质的不同。</w:t>
      </w:r>
    </w:p>
    <w:p>
      <w:pPr>
        <w:rPr>
          <w:rFonts w:hint="default"/>
        </w:rPr>
      </w:pPr>
    </w:p>
    <w:p>
      <w:pPr>
        <w:rPr>
          <w:rFonts w:hint="eastAsia" w:eastAsiaTheme="minorEastAsia"/>
          <w:lang w:eastAsia="zh-CN"/>
        </w:rPr>
      </w:pPr>
      <w:r>
        <w:rPr>
          <w:rFonts w:hint="eastAsia" w:eastAsiaTheme="minorEastAsia"/>
          <w:lang w:eastAsia="zh-CN"/>
        </w:rPr>
        <w:drawing>
          <wp:inline distT="0" distB="0" distL="114300" distR="114300">
            <wp:extent cx="5271135" cy="3475990"/>
            <wp:effectExtent l="0" t="0" r="5715" b="10160"/>
            <wp:docPr id="6" name="图片 6" descr="微信图片_202007300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730092750"/>
                    <pic:cNvPicPr>
                      <a:picLocks noChangeAspect="1"/>
                    </pic:cNvPicPr>
                  </pic:nvPicPr>
                  <pic:blipFill>
                    <a:blip r:embed="rId5"/>
                    <a:stretch>
                      <a:fillRect/>
                    </a:stretch>
                  </pic:blipFill>
                  <pic:spPr>
                    <a:xfrm>
                      <a:off x="0" y="0"/>
                      <a:ext cx="5271135" cy="3475990"/>
                    </a:xfrm>
                    <a:prstGeom prst="rect">
                      <a:avLst/>
                    </a:prstGeom>
                  </pic:spPr>
                </pic:pic>
              </a:graphicData>
            </a:graphic>
          </wp:inline>
        </w:drawing>
      </w:r>
    </w:p>
    <w:p>
      <w:pPr>
        <w:rPr>
          <w:rFonts w:hint="default"/>
          <w:b/>
          <w:bCs/>
        </w:rPr>
      </w:pPr>
      <w:r>
        <w:rPr>
          <w:rFonts w:hint="default"/>
          <w:b/>
          <w:bCs/>
        </w:rPr>
        <w:t>静远嘲风学术期刊封面设计作品</w:t>
      </w:r>
    </w:p>
    <w:p>
      <w:pPr>
        <w:rPr>
          <w:rFonts w:hint="default"/>
        </w:rPr>
      </w:pPr>
    </w:p>
    <w:p>
      <w:pPr>
        <w:ind w:firstLine="420" w:firstLineChars="200"/>
        <w:rPr>
          <w:rFonts w:hint="default"/>
        </w:rPr>
      </w:pPr>
      <w:r>
        <w:rPr>
          <w:rFonts w:hint="default"/>
        </w:rPr>
        <w:t>看得出来现在的科研形态中，艺术的力量被放大了，艺术的表现空间更加多元化了。这一场看似让艺术控场的变革，给了科研竞争新的方式，也给了科研这个综合领域的IP衍生品重新审视自己定位的机会。</w:t>
      </w:r>
    </w:p>
    <w:p>
      <w:pPr>
        <w:ind w:firstLine="420" w:firstLineChars="200"/>
        <w:rPr>
          <w:rFonts w:hint="default"/>
        </w:rPr>
      </w:pPr>
      <w:r>
        <w:rPr>
          <w:rFonts w:hint="default"/>
        </w:rPr>
        <w:t>如何将“看不见的科学故事”做出“看得到的艺术美感”呢？动画导演的专业背景的创始人一直对文化行业的生存形态有着不由自主的探索，在这个行业中，经过多番的尝试，成立了镇江图研科技有限公司，搭建了非常强大的团队资源来赋能科学衍生品。</w:t>
      </w:r>
    </w:p>
    <w:p>
      <w:pPr>
        <w:ind w:firstLine="420" w:firstLineChars="200"/>
        <w:rPr>
          <w:rFonts w:hint="default"/>
        </w:rPr>
      </w:pPr>
    </w:p>
    <w:p>
      <w:pPr>
        <w:ind w:firstLine="420" w:firstLineChars="200"/>
        <w:rPr>
          <w:rFonts w:hint="default"/>
        </w:rPr>
      </w:pPr>
      <w:r>
        <w:rPr>
          <w:rFonts w:hint="default"/>
        </w:rPr>
        <w:t>当你听到“与石墨烯纠缠的纳米碳管、神秘而丰富的科学世界、纳米颗粒、细胞条带、纤维的反击、新能源汽车、电荷高速公路”你会想到什么？</w:t>
      </w:r>
    </w:p>
    <w:p>
      <w:pPr>
        <w:ind w:firstLine="420" w:firstLineChars="200"/>
        <w:rPr>
          <w:rFonts w:hint="eastAsia"/>
          <w:lang w:val="en-US" w:eastAsia="zh-CN"/>
        </w:rPr>
      </w:pPr>
      <w:r>
        <w:rPr>
          <w:rFonts w:hint="default"/>
        </w:rPr>
        <w:t>当你看到这么多的精美产品，你又会想到什么？是一份对未来的远见，对用户使用体验的细致体察?还是让中国科学家在国际科研竞技中有助力，也在礼仪时尚舞台上有底气……</w:t>
      </w:r>
      <w:r>
        <w:rPr>
          <w:rFonts w:hint="eastAsia"/>
          <w:lang w:val="en-US" w:eastAsia="zh-CN"/>
        </w:rPr>
        <w:t xml:space="preserve"> </w:t>
      </w:r>
    </w:p>
    <w:p>
      <w:pPr>
        <w:rPr>
          <w:rFonts w:hint="default"/>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7687945"/>
            <wp:effectExtent l="0" t="0" r="3175" b="8255"/>
            <wp:docPr id="7" name="图片 7" descr="微信图片_202007300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730092838"/>
                    <pic:cNvPicPr>
                      <a:picLocks noChangeAspect="1"/>
                    </pic:cNvPicPr>
                  </pic:nvPicPr>
                  <pic:blipFill>
                    <a:blip r:embed="rId6"/>
                    <a:stretch>
                      <a:fillRect/>
                    </a:stretch>
                  </pic:blipFill>
                  <pic:spPr>
                    <a:xfrm>
                      <a:off x="0" y="0"/>
                      <a:ext cx="5273675" cy="7687945"/>
                    </a:xfrm>
                    <a:prstGeom prst="rect">
                      <a:avLst/>
                    </a:prstGeom>
                  </pic:spPr>
                </pic:pic>
              </a:graphicData>
            </a:graphic>
          </wp:inline>
        </w:drawing>
      </w:r>
    </w:p>
    <w:p>
      <w:pPr>
        <w:rPr>
          <w:rFonts w:hint="default"/>
          <w:b/>
          <w:bCs/>
        </w:rPr>
      </w:pPr>
      <w:r>
        <w:rPr>
          <w:rFonts w:hint="default"/>
          <w:b/>
          <w:bCs/>
        </w:rPr>
        <w:t>图研科技-科研衍生品</w:t>
      </w:r>
    </w:p>
    <w:p>
      <w:pPr>
        <w:rPr>
          <w:rFonts w:hint="default"/>
          <w:b/>
          <w:bCs/>
        </w:rPr>
      </w:pPr>
    </w:p>
    <w:p>
      <w:pPr>
        <w:ind w:firstLine="420" w:firstLineChars="200"/>
        <w:rPr>
          <w:rFonts w:hint="default"/>
        </w:rPr>
      </w:pPr>
      <w:r>
        <w:rPr>
          <w:rFonts w:hint="default"/>
        </w:rPr>
        <w:t>图研科技一直认为：衍生品会不会给科学开启进入时尚领域的大门，尚且有待观望，还需要科学界，科学传播，艺术界共同继续努力，但是，脱离了低龄化教育属性的衍生品在科技型的产业，在科技型的企业，科技型的文化驱动下，发展是必然的趋势。</w:t>
      </w:r>
    </w:p>
    <w:p>
      <w:pPr>
        <w:ind w:firstLine="420" w:firstLineChars="200"/>
        <w:rPr>
          <w:rFonts w:hint="default"/>
        </w:rPr>
      </w:pPr>
      <w:r>
        <w:rPr>
          <w:rFonts w:hint="default"/>
        </w:rPr>
        <w:t>有人觉得这种类型的产品市场没见过或者大家不懂会不会很难接受，其实仔细关注下就会发现一场疫情之后有了病毒的衍生品的小挂件，一次登月之后有航空的衍生品，大众并非对科技领域不感兴趣，恰恰相反，现在科技领域高知群体越来越多，女性在科技领域占比越来越多，这些群体对科技时尚的需求早晚会浮出水面，所以对市场而言，不是缺受众，而且缺少在这个领域的艺术创作者。</w:t>
      </w:r>
    </w:p>
    <w:p>
      <w:pPr>
        <w:ind w:firstLine="420" w:firstLineChars="200"/>
        <w:rPr>
          <w:rFonts w:hint="default"/>
        </w:rPr>
      </w:pPr>
    </w:p>
    <w:p>
      <w:pPr>
        <w:ind w:firstLine="422" w:firstLineChars="200"/>
        <w:rPr>
          <w:rFonts w:hint="default"/>
        </w:rPr>
      </w:pPr>
      <w:r>
        <w:rPr>
          <w:rFonts w:hint="default"/>
          <w:b/>
          <w:bCs/>
        </w:rPr>
        <w:t>一定不要让衍生品变成定制品</w:t>
      </w:r>
      <w:r>
        <w:rPr>
          <w:rFonts w:hint="default"/>
        </w:rPr>
        <w:t>：如果科研衍生品是基于科学图像的画面，科学实验室制作的T恤汗衫，是否可以进入衍生品的行列；衍生品和定制品的区别一在价格，二在价值，定制品经常是赠品，在定制的时候不会考虑前面提到的二次创作的价值，并且尽可能的控制成本和生产方式；衍生品是商品，成为商品不仅要考虑二次创作的价值，还需要在生产成本上达到商品的品质标准，能在一次传播之后，形成在市场上自己存活产生价值的商品。</w:t>
      </w:r>
    </w:p>
    <w:p>
      <w:pPr>
        <w:ind w:firstLine="420" w:firstLineChars="200"/>
        <w:rPr>
          <w:rFonts w:hint="default"/>
        </w:rPr>
      </w:pPr>
    </w:p>
    <w:p>
      <w:pPr>
        <w:ind w:firstLine="422" w:firstLineChars="200"/>
        <w:rPr>
          <w:rFonts w:hint="default"/>
          <w:b/>
          <w:bCs/>
        </w:rPr>
      </w:pPr>
      <w:r>
        <w:rPr>
          <w:rFonts w:hint="default"/>
          <w:b/>
          <w:bCs/>
        </w:rPr>
        <w:t>定制品会快速的消耗掉艺术的热度，衍生品会延伸并扩大艺术的影响力。</w:t>
      </w:r>
    </w:p>
    <w:p>
      <w:pPr>
        <w:ind w:firstLine="420" w:firstLineChars="200"/>
        <w:rPr>
          <w:rFonts w:hint="default"/>
        </w:rPr>
      </w:pPr>
    </w:p>
    <w:p>
      <w:pPr>
        <w:ind w:firstLine="420" w:firstLineChars="200"/>
        <w:rPr>
          <w:rFonts w:hint="default"/>
        </w:rPr>
      </w:pPr>
      <w:r>
        <w:rPr>
          <w:rFonts w:hint="default"/>
        </w:rPr>
        <w:t>图研科技正因为在衍生品之路上，一直秉承“无界的艺术”打造没有围墙的科学生活，才能在全国纺织艺术“中国国际面料创意大赛”中与来自近百家高校和纺织服装企业的3000余份花型创意设计作品同台竞技。并在众多送审的作品中，《分子水银》脱颖而出获得优秀奖入围，极大的认可了科学艺术化的可行性，科学与艺术可以融入一体形成新的时尚生命。</w:t>
      </w:r>
    </w:p>
    <w:p>
      <w:pPr>
        <w:rPr>
          <w:rFonts w:hint="eastAsia" w:eastAsiaTheme="minorEastAsia"/>
          <w:lang w:eastAsia="zh-CN"/>
        </w:rPr>
      </w:pPr>
      <w:r>
        <w:rPr>
          <w:rFonts w:hint="eastAsia" w:eastAsiaTheme="minorEastAsia"/>
          <w:lang w:eastAsia="zh-CN"/>
        </w:rPr>
        <w:drawing>
          <wp:inline distT="0" distB="0" distL="114300" distR="114300">
            <wp:extent cx="5272405" cy="4535170"/>
            <wp:effectExtent l="0" t="0" r="4445" b="17780"/>
            <wp:docPr id="8" name="图片 8" descr="微信图片_2020073009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730092902"/>
                    <pic:cNvPicPr>
                      <a:picLocks noChangeAspect="1"/>
                    </pic:cNvPicPr>
                  </pic:nvPicPr>
                  <pic:blipFill>
                    <a:blip r:embed="rId7"/>
                    <a:stretch>
                      <a:fillRect/>
                    </a:stretch>
                  </pic:blipFill>
                  <pic:spPr>
                    <a:xfrm>
                      <a:off x="0" y="0"/>
                      <a:ext cx="5272405" cy="4535170"/>
                    </a:xfrm>
                    <a:prstGeom prst="rect">
                      <a:avLst/>
                    </a:prstGeom>
                  </pic:spPr>
                </pic:pic>
              </a:graphicData>
            </a:graphic>
          </wp:inline>
        </w:drawing>
      </w:r>
    </w:p>
    <w:p>
      <w:pPr>
        <w:rPr>
          <w:rFonts w:hint="default"/>
          <w:b/>
          <w:bCs/>
        </w:rPr>
      </w:pPr>
      <w:r>
        <w:rPr>
          <w:rFonts w:hint="default"/>
          <w:b/>
          <w:bCs/>
        </w:rPr>
        <w:t>图研科技作品《分子水银》</w:t>
      </w:r>
    </w:p>
    <w:p>
      <w:pPr>
        <w:rPr>
          <w:rFonts w:hint="default"/>
        </w:rPr>
      </w:pPr>
      <w:r>
        <w:rPr>
          <w:rFonts w:hint="default"/>
          <w:lang w:val="en-US" w:eastAsia="zh-CN"/>
        </w:rPr>
        <w:drawing>
          <wp:inline distT="0" distB="0" distL="114300" distR="114300">
            <wp:extent cx="304800" cy="3048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ind w:firstLine="420" w:firstLineChars="200"/>
        <w:rPr>
          <w:rFonts w:hint="default"/>
        </w:rPr>
      </w:pPr>
      <w:r>
        <w:rPr>
          <w:rFonts w:hint="default"/>
        </w:rPr>
        <w:t>最后，想跟大家说的是，破圈自己的思维，跨界自己的领域，改变一下科学的出场方式，你会发现更广阔的应用场景，镇江图研科技希望与你携手科学艺术跨界衍生品，打造没有围墙的科学生活。</w:t>
      </w:r>
    </w:p>
    <w:p>
      <w:pPr>
        <w:ind w:firstLine="420" w:firstLineChars="200"/>
        <w:rPr>
          <w:rFonts w:hint="default"/>
        </w:rPr>
      </w:pPr>
    </w:p>
    <w:p>
      <w:pPr>
        <w:ind w:firstLine="420" w:firstLineChars="200"/>
        <w:rPr>
          <w:rFonts w:hint="default"/>
        </w:rPr>
      </w:pPr>
      <w:r>
        <w:rPr>
          <w:rFonts w:hint="default"/>
        </w:rPr>
        <w:t>镇江图研科技有限公司是国内首家专注于“科学绘图”（scientific illustration）的集教育、信息与服务为一体的科技型企业。致力于科研论文配图和科学图像的设计及发展。图研科技依托于北京静远嘲风动漫传媒科技中心，有着业界公认的品牌实力与雄厚的设计师团队支持。由于我国学科分科现象而造成人才技能单一，与国际同行业水平相差甚远，让我国高端科研在国际竞争中蒙受损失。我们培养的科技绘图专业设计师目前已经帮助海内外客户争取到700余幅科研期刊封面（cover picture）设计，并设计有数千幅科技论文配图，自建有数十万幅的科学绘图元素（细胞膜、分子、箭头标注、纳米管等）的数据库。图研科技大力推动艺术与科学的结合，通过数字化形式创新业态、开发市场，把科学文化和科学事业以视觉传达形式传播到世界各地。</w:t>
      </w:r>
    </w:p>
    <w:p>
      <w:pPr>
        <w:ind w:firstLine="420" w:firstLineChars="200"/>
        <w:rPr>
          <w:rFonts w:hint="default"/>
        </w:rPr>
      </w:pPr>
      <w:r>
        <w:rPr>
          <w:rFonts w:hint="default"/>
        </w:rPr>
        <w:t>图研科技合作过的期刊包括：Science，Nature，Cell，PNAS，JACS，Blood，Plant，Advanced Materials，Small，JOC，NanoResearch，Angewandte，Langmuir，ChemComm.，CrystEngComm.，Journal of Materials Chemistry等等。</w:t>
      </w:r>
    </w:p>
    <w:p>
      <w:pPr>
        <w:ind w:firstLine="420" w:firstLineChars="200"/>
        <w:rPr>
          <w:rFonts w:hint="default"/>
        </w:rPr>
      </w:pPr>
      <w:r>
        <w:rPr>
          <w:rFonts w:hint="default"/>
        </w:rPr>
        <w:t>图研科技服务对象包括：中国科学院、清华大学、北京大学、中国人民大学、南京大学、东南大学、中国科技大学、复旦大学、上海交通大学、同济大学、南开大学、浙江大学、武汉大学、吉林大学、南京大学、北京科技大学、北京理工大学、北京化工大学、中国农业科学院、中国农业大学、北京师范大学、北京航空航天大学、华中科技大学、天津大学、重庆大学、中国海洋大学、中国医科大学、中国药科大学、南方医科大学、湖南大学、中南大学、首都医科大学、厦门大学、Harward University、University of Washington、University of Wisconsin-Milwaukee、The University of Sydney、香港科技大学、台湾大学、南洋理工大学等等。</w:t>
      </w:r>
    </w:p>
    <w:p>
      <w:pPr>
        <w:ind w:firstLine="420" w:firstLineChars="200"/>
        <w:rPr>
          <w:rFonts w:hint="default"/>
        </w:rPr>
      </w:pPr>
      <w:r>
        <w:rPr>
          <w:rFonts w:hint="default"/>
        </w:rPr>
        <w:t>中国科研崛起已是势不可挡，科研服务行业的精准、细分是市场趋势。</w:t>
      </w:r>
    </w:p>
    <w:p>
      <w:pPr>
        <w:ind w:firstLine="420" w:firstLineChars="200"/>
        <w:rPr>
          <w:rFonts w:hint="default"/>
        </w:rPr>
      </w:pPr>
      <w:r>
        <w:rPr>
          <w:rFonts w:hint="default"/>
        </w:rPr>
        <w:t>图研科技联合镇江市高新技术产业园共同打造全国最大科研图像人才培养基地，目标是为国内科研界培养高素质高水平的专业科研图像制作人才。</w:t>
      </w:r>
    </w:p>
    <w:p>
      <w:pPr>
        <w:rPr>
          <w:rFonts w:hint="eastAsia"/>
          <w:lang w:val="en-US" w:eastAsia="zh-CN"/>
        </w:rPr>
      </w:pPr>
      <w:r>
        <w:rPr>
          <w:rFonts w:hint="eastAsia"/>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rPr>
          <w:rFonts w:ascii="sans-serif" w:hAnsi="sans-serif" w:eastAsia="sans-serif" w:cs="sans-serif"/>
          <w:i w:val="0"/>
          <w:caps w:val="0"/>
          <w:color w:val="000000"/>
          <w:spacing w:val="0"/>
          <w:sz w:val="21"/>
          <w:szCs w:val="21"/>
        </w:rPr>
      </w:pPr>
      <w:r>
        <w:rPr>
          <w:rFonts w:hint="eastAsia"/>
          <w:lang w:val="en-US" w:eastAsia="zh-CN"/>
        </w:rPr>
        <w:t xml:space="preserve">                                              </w:t>
      </w:r>
      <w:r>
        <w:rPr>
          <w:rStyle w:val="6"/>
          <w:rFonts w:hint="default" w:ascii="Microsoft YaHei UI" w:hAnsi="Microsoft YaHei UI" w:eastAsia="Microsoft YaHei UI" w:cs="Microsoft YaHei UI"/>
          <w:b/>
          <w:i w:val="0"/>
          <w:caps w:val="0"/>
          <w:color w:val="333333"/>
          <w:spacing w:val="8"/>
          <w:sz w:val="25"/>
          <w:szCs w:val="25"/>
          <w:bdr w:val="none" w:color="auto" w:sz="0" w:space="0"/>
          <w:shd w:val="clear" w:fill="FFFFFF"/>
        </w:rPr>
        <w:t>文章转载自</w:t>
      </w:r>
      <w:r>
        <w:rPr>
          <w:rStyle w:val="6"/>
          <w:rFonts w:hint="eastAsia" w:ascii="Microsoft YaHei UI" w:hAnsi="Microsoft YaHei UI" w:eastAsia="Microsoft YaHei UI" w:cs="Microsoft YaHei UI"/>
          <w:b/>
          <w:i w:val="0"/>
          <w:caps w:val="0"/>
          <w:color w:val="FF0000"/>
          <w:spacing w:val="8"/>
          <w:sz w:val="25"/>
          <w:szCs w:val="25"/>
          <w:bdr w:val="none" w:color="auto" w:sz="0" w:space="0"/>
          <w:shd w:val="clear" w:fill="FFFFFF"/>
        </w:rPr>
        <w:t>网易新闻</w:t>
      </w:r>
      <w:r>
        <w:rPr>
          <w:rStyle w:val="6"/>
          <w:rFonts w:hint="eastAsia" w:ascii="Microsoft YaHei UI" w:hAnsi="Microsoft YaHei UI" w:eastAsia="Microsoft YaHei UI" w:cs="Microsoft YaHei UI"/>
          <w:b/>
          <w:i w:val="0"/>
          <w:caps w:val="0"/>
          <w:color w:val="333333"/>
          <w:spacing w:val="8"/>
          <w:sz w:val="25"/>
          <w:szCs w:val="25"/>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rPr>
          <w:rFonts w:hint="default" w:ascii="sans-serif" w:hAnsi="sans-serif" w:eastAsia="sans-serif" w:cs="sans-serif"/>
          <w:i w:val="0"/>
          <w:caps w:val="0"/>
          <w:color w:val="000000"/>
          <w:spacing w:val="0"/>
          <w:sz w:val="21"/>
          <w:szCs w:val="21"/>
        </w:rPr>
      </w:pPr>
      <w:r>
        <w:rPr>
          <w:rFonts w:hint="default" w:ascii="sans-serif" w:hAnsi="sans-serif" w:eastAsia="sans-serif" w:cs="sans-serif"/>
          <w:i w:val="0"/>
          <w:caps w:val="0"/>
          <w:color w:val="000000"/>
          <w:spacing w:val="0"/>
          <w:sz w:val="21"/>
          <w:szCs w:val="21"/>
          <w:bdr w:val="none" w:color="auto" w:sz="0" w:space="0"/>
        </w:rPr>
        <w:t>         </w:t>
      </w:r>
      <w:r>
        <w:rPr>
          <w:rStyle w:val="6"/>
          <w:rFonts w:hint="eastAsia" w:ascii="Microsoft YaHei UI" w:hAnsi="Microsoft YaHei UI" w:eastAsia="Microsoft YaHei UI" w:cs="Microsoft YaHei UI"/>
          <w:b/>
          <w:i w:val="0"/>
          <w:caps w:val="0"/>
          <w:color w:val="333333"/>
          <w:spacing w:val="8"/>
          <w:sz w:val="25"/>
          <w:szCs w:val="25"/>
          <w:bdr w:val="none" w:color="auto" w:sz="0" w:space="0"/>
          <w:shd w:val="clear" w:fill="FFFFFF"/>
        </w:rPr>
        <w:t>点击链接进入原文：</w:t>
      </w:r>
      <w:r>
        <w:rPr>
          <w:rFonts w:hint="default" w:ascii="sans-serif" w:hAnsi="sans-serif" w:eastAsia="sans-serif" w:cs="sans-serif"/>
          <w:i w:val="0"/>
          <w:caps w:val="0"/>
          <w:color w:val="666666"/>
          <w:spacing w:val="0"/>
          <w:sz w:val="21"/>
          <w:szCs w:val="21"/>
          <w:u w:val="single"/>
          <w:bdr w:val="none" w:color="auto" w:sz="0" w:space="0"/>
        </w:rPr>
        <w:fldChar w:fldCharType="begin"/>
      </w:r>
      <w:r>
        <w:rPr>
          <w:rFonts w:hint="default" w:ascii="sans-serif" w:hAnsi="sans-serif" w:eastAsia="sans-serif" w:cs="sans-serif"/>
          <w:i w:val="0"/>
          <w:caps w:val="0"/>
          <w:color w:val="666666"/>
          <w:spacing w:val="0"/>
          <w:sz w:val="21"/>
          <w:szCs w:val="21"/>
          <w:u w:val="single"/>
          <w:bdr w:val="none" w:color="auto" w:sz="0" w:space="0"/>
        </w:rPr>
        <w:instrText xml:space="preserve"> HYPERLINK "https://c.m.163.com/news/a/FII42VGI00019OH3.html?spss=adap_pc&amp;referFrom=&amp;spssid=29297d912c5fe951fcebbc47adeb6bcd&amp;spsw=2&amp;isFromH5Share=article&amp;from=timeline" \t "_blank" </w:instrText>
      </w:r>
      <w:r>
        <w:rPr>
          <w:rFonts w:hint="default" w:ascii="sans-serif" w:hAnsi="sans-serif" w:eastAsia="sans-serif" w:cs="sans-serif"/>
          <w:i w:val="0"/>
          <w:caps w:val="0"/>
          <w:color w:val="666666"/>
          <w:spacing w:val="0"/>
          <w:sz w:val="21"/>
          <w:szCs w:val="21"/>
          <w:u w:val="single"/>
          <w:bdr w:val="none" w:color="auto" w:sz="0" w:space="0"/>
        </w:rPr>
        <w:fldChar w:fldCharType="separate"/>
      </w:r>
      <w:r>
        <w:rPr>
          <w:rStyle w:val="7"/>
          <w:rFonts w:hint="eastAsia" w:ascii="Microsoft YaHei UI" w:hAnsi="Microsoft YaHei UI" w:eastAsia="Microsoft YaHei UI" w:cs="Microsoft YaHei UI"/>
          <w:b/>
          <w:i w:val="0"/>
          <w:caps w:val="0"/>
          <w:color w:val="FF0000"/>
          <w:spacing w:val="8"/>
          <w:sz w:val="25"/>
          <w:szCs w:val="25"/>
          <w:u w:val="single"/>
          <w:bdr w:val="none" w:color="auto" w:sz="0" w:space="0"/>
          <w:shd w:val="clear" w:fill="FFFFFF"/>
        </w:rPr>
        <w:t>图研科技：与您携手，改变科学的出场方式</w:t>
      </w:r>
      <w:r>
        <w:rPr>
          <w:rFonts w:hint="default" w:ascii="sans-serif" w:hAnsi="sans-serif" w:eastAsia="sans-serif" w:cs="sans-serif"/>
          <w:i w:val="0"/>
          <w:caps w:val="0"/>
          <w:color w:val="666666"/>
          <w:spacing w:val="0"/>
          <w:sz w:val="21"/>
          <w:szCs w:val="21"/>
          <w:u w:val="single"/>
          <w:bdr w:val="none" w:color="auto" w:sz="0" w:space="0"/>
        </w:rPr>
        <w:fldChar w:fldCharType="end"/>
      </w:r>
    </w:p>
    <w:p>
      <w:pPr>
        <w:rPr>
          <w:rFonts w:hint="default"/>
          <w:lang w:val="en-US" w:eastAsia="zh-CN"/>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ans-serif">
    <w:altName w:val="AjiwaiPro"/>
    <w:panose1 w:val="00000000000000000000"/>
    <w:charset w:val="00"/>
    <w:family w:val="auto"/>
    <w:pitch w:val="default"/>
    <w:sig w:usb0="00000000" w:usb1="00000000" w:usb2="00000000" w:usb3="00000000" w:csb0="00000000" w:csb1="00000000"/>
  </w:font>
  <w:font w:name="AjiwaiPro">
    <w:panose1 w:val="02000600000000000000"/>
    <w:charset w:val="80"/>
    <w:family w:val="auto"/>
    <w:pitch w:val="default"/>
    <w:sig w:usb0="A00002BF" w:usb1="68C7FCFB" w:usb2="00000010" w:usb3="00000000" w:csb0="4002009F" w:csb1="DFD7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9E3BEF"/>
    <w:rsid w:val="5E1675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129</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啾啾</cp:lastModifiedBy>
  <dcterms:modified xsi:type="dcterms:W3CDTF">2020-07-30T05:38:15Z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